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F0" w:rsidRPr="008632F0" w:rsidRDefault="008632F0" w:rsidP="008632F0">
      <w:pPr>
        <w:pStyle w:val="Brdtekst"/>
        <w:jc w:val="center"/>
        <w:rPr>
          <w:color w:val="auto"/>
          <w:sz w:val="28"/>
          <w:szCs w:val="28"/>
        </w:rPr>
      </w:pPr>
      <w:r w:rsidRPr="008632F0">
        <w:rPr>
          <w:b/>
          <w:color w:val="auto"/>
          <w:sz w:val="28"/>
          <w:szCs w:val="28"/>
        </w:rPr>
        <w:t>Jesu forhold til syndere</w:t>
      </w:r>
    </w:p>
    <w:p w:rsidR="008632F0" w:rsidRDefault="008632F0" w:rsidP="008632F0">
      <w:pPr>
        <w:pStyle w:val="Brdtekst"/>
        <w:rPr>
          <w:color w:val="auto"/>
        </w:rPr>
      </w:pPr>
    </w:p>
    <w:p w:rsidR="008632F0" w:rsidRDefault="008632F0" w:rsidP="008632F0">
      <w:pPr>
        <w:pStyle w:val="Brdtekst"/>
        <w:rPr>
          <w:color w:val="auto"/>
        </w:rPr>
      </w:pPr>
      <w:r>
        <w:rPr>
          <w:color w:val="auto"/>
        </w:rPr>
        <w:t>Vi bør nøye merke oss hvordan Kristus med disse tre liknelsene i Luk 15 dypest sett ”maler” forholdet mellom ham selv og synderen. Og hvordan hans forhold til synderen virkelig er. Ja, hva det egentlig er hans hjerte er opptatt med hos synderen.</w:t>
      </w:r>
    </w:p>
    <w:p w:rsidR="008632F0" w:rsidRDefault="008632F0" w:rsidP="008632F0">
      <w:pPr>
        <w:pStyle w:val="Brdtekst"/>
        <w:rPr>
          <w:color w:val="auto"/>
        </w:rPr>
      </w:pPr>
      <w:r>
        <w:rPr>
          <w:color w:val="auto"/>
        </w:rPr>
        <w:t xml:space="preserve">Da er det jo høyst bemerkelsesverdig, først at den nådige Herre velger slike liknelser som handler om døde, uten forstand, og helt </w:t>
      </w:r>
      <w:r>
        <w:rPr>
          <w:i/>
          <w:color w:val="auto"/>
        </w:rPr>
        <w:t>fortapte</w:t>
      </w:r>
      <w:r>
        <w:rPr>
          <w:color w:val="auto"/>
        </w:rPr>
        <w:t xml:space="preserve"> ting, som sølvpengen, sauen og til slutt om den fortapte sønnen. </w:t>
      </w:r>
    </w:p>
    <w:p w:rsidR="008632F0" w:rsidRDefault="008632F0" w:rsidP="008632F0">
      <w:pPr>
        <w:pStyle w:val="Brdtekst"/>
        <w:rPr>
          <w:color w:val="auto"/>
        </w:rPr>
      </w:pPr>
      <w:r>
        <w:rPr>
          <w:color w:val="auto"/>
        </w:rPr>
        <w:t xml:space="preserve">Og når han nevner den uverdige sønnen, legger vi merke til at </w:t>
      </w:r>
      <w:r>
        <w:rPr>
          <w:b/>
          <w:color w:val="auto"/>
        </w:rPr>
        <w:t xml:space="preserve">han nevner ikke et eneste ord om noen av alle de syndige forhold i hans situasjon, - men bare taler om hans </w:t>
      </w:r>
      <w:r>
        <w:rPr>
          <w:b/>
          <w:i/>
          <w:color w:val="auto"/>
        </w:rPr>
        <w:t>fortapte tilstand</w:t>
      </w:r>
      <w:r>
        <w:rPr>
          <w:b/>
          <w:color w:val="auto"/>
        </w:rPr>
        <w:t>.</w:t>
      </w:r>
      <w:r>
        <w:rPr>
          <w:color w:val="auto"/>
        </w:rPr>
        <w:t xml:space="preserve"> </w:t>
      </w:r>
    </w:p>
    <w:p w:rsidR="008632F0" w:rsidRDefault="008632F0" w:rsidP="008632F0">
      <w:pPr>
        <w:pStyle w:val="Brdtekst"/>
        <w:rPr>
          <w:color w:val="auto"/>
        </w:rPr>
      </w:pPr>
      <w:r>
        <w:rPr>
          <w:color w:val="auto"/>
        </w:rPr>
        <w:t xml:space="preserve">Han sier </w:t>
      </w:r>
      <w:r>
        <w:rPr>
          <w:i/>
          <w:color w:val="auto"/>
        </w:rPr>
        <w:t>ikke</w:t>
      </w:r>
      <w:r>
        <w:rPr>
          <w:color w:val="auto"/>
        </w:rPr>
        <w:t>: Denne min sønn var en forferdelig forakter, men jeg har forlatt ham. Nei, han sier: ”Denne min sønn var død og har fått livet igjen, han var fortapt og er funnet igjen; la oss ete og være glade!”</w:t>
      </w:r>
      <w:bookmarkStart w:id="0" w:name="_GoBack"/>
      <w:bookmarkEnd w:id="0"/>
    </w:p>
    <w:p w:rsidR="008632F0" w:rsidRDefault="008632F0" w:rsidP="008632F0">
      <w:pPr>
        <w:pStyle w:val="Brdtekst"/>
        <w:rPr>
          <w:color w:val="auto"/>
        </w:rPr>
      </w:pPr>
      <w:r>
        <w:rPr>
          <w:color w:val="auto"/>
        </w:rPr>
        <w:t>Å, her merker jeg det virkelig store, avgjørende budskapet i det også Paulus forkynner: ”… ikke tilregner dem deres overtredelser” – ”Det var Gud som i Kristus forlikte verden med seg selv, så han ikke tilregner dem deres overtredelser og la ned i oss ordet om forlikelsen.”</w:t>
      </w:r>
    </w:p>
    <w:p w:rsidR="008632F0" w:rsidRDefault="008632F0" w:rsidP="008632F0">
      <w:pPr>
        <w:pStyle w:val="Brdtekst"/>
        <w:rPr>
          <w:color w:val="auto"/>
        </w:rPr>
      </w:pPr>
      <w:r>
        <w:rPr>
          <w:color w:val="auto"/>
        </w:rPr>
        <w:t>Og slik Herren selv utrykker det: ”For intet ble dere solgt, og uten penger skal dere bli gjenløst”, og Paulus: ”Likesom én manns overtredelse ble til fordømmelse for alle mennesker, slik blir også én manns rettferdige gjerning til livsens rettferdiggjørelse for alle mennesker.</w:t>
      </w:r>
    </w:p>
    <w:p w:rsidR="008632F0" w:rsidRDefault="008632F0" w:rsidP="008632F0">
      <w:pPr>
        <w:pStyle w:val="Brdtekst"/>
        <w:rPr>
          <w:color w:val="auto"/>
        </w:rPr>
      </w:pPr>
      <w:r>
        <w:rPr>
          <w:color w:val="auto"/>
        </w:rPr>
        <w:t>For likesom de mange kom til å stå som syndere ved det ene menneskes ulydighet, så skal også de mange stå som rettferdige ved den enes lydighet. Vi ble forlikt med Gud ved hans Sønns død, da vi var fiender”.</w:t>
      </w:r>
    </w:p>
    <w:p w:rsidR="008632F0" w:rsidRDefault="008632F0" w:rsidP="008632F0">
      <w:pPr>
        <w:pStyle w:val="Brdtekst"/>
        <w:rPr>
          <w:color w:val="auto"/>
        </w:rPr>
      </w:pPr>
      <w:r>
        <w:rPr>
          <w:color w:val="auto"/>
        </w:rPr>
        <w:t>Å, da fatter jeg, det også Paulus har forkynt, at alle advarsler, krav og dommer, kort sagt ”alt det loven sier, det taler den til dem som er under loven, for at hver munn skal lukkes og hele verden bli skyldig for Gud” – det taler han med det ene som mål at loven skal være som en tuktemester for oss til Kristus, så vi kan bli ”rettferdiggjort ved tro”.</w:t>
      </w:r>
    </w:p>
    <w:p w:rsidR="008632F0" w:rsidRDefault="008632F0" w:rsidP="008632F0">
      <w:pPr>
        <w:pStyle w:val="Brdtekst"/>
        <w:rPr>
          <w:color w:val="auto"/>
        </w:rPr>
      </w:pPr>
      <w:r>
        <w:rPr>
          <w:color w:val="auto"/>
        </w:rPr>
        <w:t xml:space="preserve">For etter at Herren ”kastet alle våre synder på ham”, etter at Guds Sønn ble ”født under loven” for oss ”og utgjøt sitt blod til syndenes forlatelse”, </w:t>
      </w:r>
      <w:r>
        <w:rPr>
          <w:b/>
          <w:color w:val="auto"/>
        </w:rPr>
        <w:t>så er det intet annet i himmelen eller på jorden som gjelder for Gud, enn Sønnens lydighet.</w:t>
      </w:r>
    </w:p>
    <w:p w:rsidR="008632F0" w:rsidRDefault="008632F0" w:rsidP="008632F0">
      <w:pPr>
        <w:pStyle w:val="Brdtekst"/>
        <w:rPr>
          <w:color w:val="auto"/>
        </w:rPr>
      </w:pPr>
      <w:r>
        <w:rPr>
          <w:color w:val="auto"/>
        </w:rPr>
        <w:t xml:space="preserve">Så er alle syndere like overfor Gud, ”det er ingen forskjell, alle har syndet og blir rettferdiggjort…” (Rom 3). </w:t>
      </w:r>
    </w:p>
    <w:p w:rsidR="008632F0" w:rsidRDefault="008632F0" w:rsidP="008632F0">
      <w:pPr>
        <w:pStyle w:val="Brdtekst"/>
        <w:rPr>
          <w:color w:val="auto"/>
        </w:rPr>
      </w:pPr>
      <w:r>
        <w:rPr>
          <w:color w:val="auto"/>
        </w:rPr>
        <w:t xml:space="preserve">Men så er det heller ikke noe annet i himmel eller på jord som Gud er så nidkjær for som at Lammets får ære. Han sier: ” Kyss Sønnen, for at han ikke skal bli </w:t>
      </w:r>
      <w:proofErr w:type="spellStart"/>
      <w:r>
        <w:rPr>
          <w:color w:val="auto"/>
        </w:rPr>
        <w:t>vred”osv</w:t>
      </w:r>
      <w:proofErr w:type="spellEnd"/>
      <w:r>
        <w:rPr>
          <w:color w:val="auto"/>
        </w:rPr>
        <w:t xml:space="preserve">. </w:t>
      </w:r>
    </w:p>
    <w:p w:rsidR="008632F0" w:rsidRDefault="008632F0" w:rsidP="008632F0">
      <w:pPr>
        <w:pStyle w:val="Brdtekst"/>
        <w:rPr>
          <w:color w:val="auto"/>
        </w:rPr>
      </w:pPr>
      <w:r>
        <w:rPr>
          <w:color w:val="auto"/>
        </w:rPr>
        <w:t xml:space="preserve">Dette er hele hemmeligheten hvorfor Gud i så stor nåde tar imot de </w:t>
      </w:r>
      <w:proofErr w:type="spellStart"/>
      <w:r>
        <w:rPr>
          <w:color w:val="auto"/>
        </w:rPr>
        <w:t>uverdigste</w:t>
      </w:r>
      <w:proofErr w:type="spellEnd"/>
      <w:r>
        <w:rPr>
          <w:color w:val="auto"/>
        </w:rPr>
        <w:t>, fortapte sønner og fryder seg over dem. For det er ingen som er så skikket og rede til å hylle Sønnen som fattige syndere, som ikke har noe annet enn synd og skam.</w:t>
      </w:r>
    </w:p>
    <w:p w:rsidR="008632F0" w:rsidRDefault="008632F0" w:rsidP="008632F0">
      <w:pPr>
        <w:pStyle w:val="Brdtekst"/>
        <w:rPr>
          <w:color w:val="auto"/>
        </w:rPr>
      </w:pPr>
      <w:r>
        <w:rPr>
          <w:color w:val="auto"/>
        </w:rPr>
        <w:t>Derfor sa Herren til de mest religiøse: ”Tollere og skjøger går før dere inn i Guds rike”. Og ”Slik skal de siste bli de første, og de første de siste”.</w:t>
      </w:r>
    </w:p>
    <w:p w:rsidR="008632F0" w:rsidRDefault="008632F0" w:rsidP="008632F0">
      <w:pPr>
        <w:pStyle w:val="Brdtekst"/>
        <w:rPr>
          <w:color w:val="auto"/>
        </w:rPr>
      </w:pPr>
      <w:r>
        <w:rPr>
          <w:color w:val="auto"/>
        </w:rPr>
        <w:t xml:space="preserve">Så underlig dømmes det i nådens rike! Luther sier: ”Mange lever i fromhet like innved </w:t>
      </w:r>
      <w:proofErr w:type="spellStart"/>
      <w:r>
        <w:rPr>
          <w:color w:val="auto"/>
        </w:rPr>
        <w:t>himlens</w:t>
      </w:r>
      <w:proofErr w:type="spellEnd"/>
      <w:r>
        <w:rPr>
          <w:color w:val="auto"/>
        </w:rPr>
        <w:t xml:space="preserve"> port, men kommer til å ende i helvete. Og mange lever i synd og ugudelighet innved helvetes port, og kommer til slutt til himmelen”. </w:t>
      </w:r>
    </w:p>
    <w:p w:rsidR="008632F0" w:rsidRDefault="008632F0" w:rsidP="008632F0">
      <w:pPr>
        <w:pStyle w:val="Brdtekst"/>
        <w:rPr>
          <w:color w:val="auto"/>
        </w:rPr>
      </w:pPr>
      <w:r>
        <w:rPr>
          <w:color w:val="auto"/>
        </w:rPr>
        <w:t>Denne mektige, underlige regjeringsform, denne fine, skarpe, hemmelige dom er det som hersker gjennom hele Guds rike. Derfor, hvis du vil tekkes Gud, så vokt deg vel at du ikke kommer fram med noen egen verdighet overfor ham. For han er en fortærende ild.</w:t>
      </w:r>
    </w:p>
    <w:p w:rsidR="008632F0" w:rsidRDefault="008632F0" w:rsidP="008632F0"/>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F0"/>
    <w:rsid w:val="00643546"/>
    <w:rsid w:val="008632F0"/>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0"/>
    <w:pPr>
      <w:spacing w:after="0" w:line="240" w:lineRule="auto"/>
    </w:pPr>
    <w:rPr>
      <w:rFonts w:eastAsia="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unhideWhenUsed/>
    <w:rsid w:val="008632F0"/>
    <w:pPr>
      <w:snapToGrid w:val="0"/>
      <w:spacing w:line="246" w:lineRule="atLeast"/>
      <w:ind w:firstLine="480"/>
      <w:jc w:val="both"/>
    </w:pPr>
    <w:rPr>
      <w:color w:val="000000"/>
      <w:sz w:val="22"/>
    </w:rPr>
  </w:style>
  <w:style w:type="character" w:customStyle="1" w:styleId="BrdtekstTegn">
    <w:name w:val="Brødtekst Tegn"/>
    <w:basedOn w:val="Standardskriftforavsnitt"/>
    <w:link w:val="Brdtekst"/>
    <w:semiHidden/>
    <w:rsid w:val="008632F0"/>
    <w:rPr>
      <w:rFonts w:eastAsia="Times New Roman" w:cs="Times New Roman"/>
      <w:color w:val="000000"/>
      <w:sz w:val="22"/>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F0"/>
    <w:pPr>
      <w:spacing w:after="0" w:line="240" w:lineRule="auto"/>
    </w:pPr>
    <w:rPr>
      <w:rFonts w:eastAsia="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unhideWhenUsed/>
    <w:rsid w:val="008632F0"/>
    <w:pPr>
      <w:snapToGrid w:val="0"/>
      <w:spacing w:line="246" w:lineRule="atLeast"/>
      <w:ind w:firstLine="480"/>
      <w:jc w:val="both"/>
    </w:pPr>
    <w:rPr>
      <w:color w:val="000000"/>
      <w:sz w:val="22"/>
    </w:rPr>
  </w:style>
  <w:style w:type="character" w:customStyle="1" w:styleId="BrdtekstTegn">
    <w:name w:val="Brødtekst Tegn"/>
    <w:basedOn w:val="Standardskriftforavsnitt"/>
    <w:link w:val="Brdtekst"/>
    <w:semiHidden/>
    <w:rsid w:val="008632F0"/>
    <w:rPr>
      <w:rFonts w:eastAsia="Times New Roman" w:cs="Times New Roman"/>
      <w:color w:val="000000"/>
      <w:sz w:val="22"/>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540</Words>
  <Characters>2866</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cp:lastPrinted>2015-02-13T17:38:00Z</cp:lastPrinted>
  <dcterms:created xsi:type="dcterms:W3CDTF">2015-02-13T17:38:00Z</dcterms:created>
  <dcterms:modified xsi:type="dcterms:W3CDTF">2015-02-13T17:41:00Z</dcterms:modified>
</cp:coreProperties>
</file>