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5BD" w:rsidRDefault="008D55BD" w:rsidP="008D55BD">
      <w:r>
        <w:t>Kjære alle sammen!</w:t>
      </w:r>
    </w:p>
    <w:p w:rsidR="008D55BD" w:rsidRDefault="008D55BD" w:rsidP="008D55BD"/>
    <w:p w:rsidR="008D55BD" w:rsidRDefault="008D55BD" w:rsidP="008D55BD">
      <w:pPr>
        <w:spacing w:after="120"/>
      </w:pPr>
      <w:r>
        <w:t>Som pinsehilsen fikk vi trang til å sende dere en utleggelse av Guds ord over et par emner som dessverre har vært og stadig på ny aktualiseres, også med referanse til lommeformat-heftet: «Om rettferdiggjørelsen innfor Gud» som vi ofte sender med bokpakkene, spes. til helt nye kontakter.</w:t>
      </w:r>
    </w:p>
    <w:p w:rsidR="008D55BD" w:rsidRDefault="008D55BD" w:rsidP="008D55BD">
      <w:pPr>
        <w:spacing w:after="120"/>
      </w:pPr>
      <w:r>
        <w:t xml:space="preserve">Vi stiller oss fullstendig uforstående til at det kunne oppstå bråk, ja, i det hele tatt noen tvil om hvorvidt denne setningen i en sang i dette lommeformat-heftet var bibelsk, men bråk ble det og til dels er det enda om denne sangstrofen på Carl Olof </w:t>
      </w:r>
      <w:proofErr w:type="spellStart"/>
      <w:r>
        <w:t>Rosenius</w:t>
      </w:r>
      <w:proofErr w:type="spellEnd"/>
      <w:r>
        <w:t>’ egen tid:</w:t>
      </w:r>
    </w:p>
    <w:p w:rsidR="008D55BD" w:rsidRDefault="008D55BD" w:rsidP="008D55BD">
      <w:pPr>
        <w:spacing w:after="120"/>
        <w:rPr>
          <w:b/>
          <w:bCs/>
        </w:rPr>
      </w:pPr>
      <w:r>
        <w:rPr>
          <w:b/>
          <w:bCs/>
        </w:rPr>
        <w:t>        «</w:t>
      </w:r>
      <w:proofErr w:type="spellStart"/>
      <w:r>
        <w:rPr>
          <w:b/>
          <w:bCs/>
        </w:rPr>
        <w:t>Vârlden</w:t>
      </w:r>
      <w:proofErr w:type="spellEnd"/>
      <w:r>
        <w:rPr>
          <w:b/>
          <w:bCs/>
        </w:rPr>
        <w:t xml:space="preserve"> i Jesus </w:t>
      </w:r>
      <w:proofErr w:type="spellStart"/>
      <w:r>
        <w:rPr>
          <w:b/>
          <w:bCs/>
        </w:rPr>
        <w:t>rättferdig</w:t>
      </w:r>
      <w:proofErr w:type="spellEnd"/>
      <w:r>
        <w:rPr>
          <w:b/>
          <w:bCs/>
        </w:rPr>
        <w:t xml:space="preserve"> </w:t>
      </w:r>
      <w:proofErr w:type="spellStart"/>
      <w:r>
        <w:rPr>
          <w:b/>
          <w:bCs/>
        </w:rPr>
        <w:t>är</w:t>
      </w:r>
      <w:proofErr w:type="spellEnd"/>
      <w:r>
        <w:rPr>
          <w:b/>
          <w:bCs/>
        </w:rPr>
        <w:t xml:space="preserve"> vorden»</w:t>
      </w:r>
    </w:p>
    <w:p w:rsidR="008D55BD" w:rsidRDefault="008D55BD" w:rsidP="008D55BD">
      <w:pPr>
        <w:spacing w:after="120"/>
      </w:pPr>
      <w:proofErr w:type="spellStart"/>
      <w:r>
        <w:t>Rosenius</w:t>
      </w:r>
      <w:proofErr w:type="spellEnd"/>
      <w:r>
        <w:t xml:space="preserve"> selv tilbakeviste omgående at der var noe som helst </w:t>
      </w:r>
      <w:proofErr w:type="spellStart"/>
      <w:r>
        <w:t>ubibelsk</w:t>
      </w:r>
      <w:proofErr w:type="spellEnd"/>
      <w:r>
        <w:t xml:space="preserve"> i formuleringen. Han skrev bl.a.: «Det er ikke bare en guddommelig sannhet, dette noen opplyste menn har villet uttrykke med disse ord, at verden ble i Kristi død rettferdiggjort, men det er selve den store </w:t>
      </w:r>
      <w:proofErr w:type="spellStart"/>
      <w:r>
        <w:t>hovedsannheten</w:t>
      </w:r>
      <w:proofErr w:type="spellEnd"/>
      <w:r>
        <w:t xml:space="preserve"> som våre fattige sjeler enten ved tro må få sin evige frelse ved, eller også bli evig fordømt ved sin vantro... De som har benyttet denne formulering: «Verden er i Kristi død rettferdiggjort» har dermed bare villet holde fram evangeliets store </w:t>
      </w:r>
      <w:proofErr w:type="spellStart"/>
      <w:r>
        <w:t>hovedsannhet</w:t>
      </w:r>
      <w:proofErr w:type="spellEnd"/>
      <w:r>
        <w:t>; at Kristus i sin forsoningsdød bar og tok bort hele verdens synder... Også de vantros synder er utslettet av Kristus, også deres skyldbrev er naglet til korset, også de er inkludert i hans forsoningsdød og hans oppstandelse», for dette er Johannes’ ord: «Han er en soning for våre synder, og det ikke bare for våre, men også for hele verdens», 1Joh 2:2. Og Paulus skriver: «Når én er død for alle, så har de alle dødd», 2Kor 5:14.</w:t>
      </w:r>
    </w:p>
    <w:p w:rsidR="008D55BD" w:rsidRDefault="008D55BD" w:rsidP="008D55BD">
      <w:pPr>
        <w:spacing w:after="120"/>
      </w:pPr>
      <w:r>
        <w:t xml:space="preserve">Der oppstod riktignok, på </w:t>
      </w:r>
      <w:proofErr w:type="spellStart"/>
      <w:r>
        <w:t>Rosenius</w:t>
      </w:r>
      <w:proofErr w:type="spellEnd"/>
      <w:r>
        <w:t xml:space="preserve">’ tid, et stort problem omkring dette: Der var noen som forkynte budskapet i denne sangstrofen som om hele verden allerede var så fullstendig rettferdig i Kristus at mennesket trengte ingen omvendelse, skulle bare begynne å anse seg rettferdig i Kristus. Noe </w:t>
      </w:r>
      <w:proofErr w:type="spellStart"/>
      <w:r>
        <w:t>Rosenius</w:t>
      </w:r>
      <w:proofErr w:type="spellEnd"/>
      <w:r>
        <w:t xml:space="preserve"> selvsagt gikk sterkt ut mot og formante til rett utleggelse av dette.</w:t>
      </w:r>
    </w:p>
    <w:p w:rsidR="008D55BD" w:rsidRDefault="008D55BD" w:rsidP="008D55BD">
      <w:pPr>
        <w:spacing w:after="120"/>
      </w:pPr>
      <w:r>
        <w:t xml:space="preserve">Bibelen er full av vitnesbyrd som bekrefter denne sangstrofen. Ja, vi vil si at er ikke dette vårt evangelium, så går vi med et i høyeste grad redusert – og dermed selvfølgelig ikke noe Bibelens evangelium. Vi bruker her bare </w:t>
      </w:r>
      <w:proofErr w:type="spellStart"/>
      <w:r>
        <w:t>étt</w:t>
      </w:r>
      <w:proofErr w:type="spellEnd"/>
      <w:r>
        <w:t xml:space="preserve"> eksempel, utover </w:t>
      </w:r>
      <w:proofErr w:type="spellStart"/>
      <w:r>
        <w:t>Rosenius</w:t>
      </w:r>
      <w:proofErr w:type="spellEnd"/>
      <w:r>
        <w:t xml:space="preserve">’ egne, fra Guds ord: </w:t>
      </w:r>
    </w:p>
    <w:p w:rsidR="008D55BD" w:rsidRDefault="008D55BD" w:rsidP="008D55BD">
      <w:pPr>
        <w:spacing w:after="120"/>
        <w:rPr>
          <w:b/>
          <w:bCs/>
          <w:i/>
          <w:iCs/>
        </w:rPr>
      </w:pPr>
      <w:r>
        <w:rPr>
          <w:b/>
          <w:bCs/>
          <w:i/>
          <w:iCs/>
        </w:rPr>
        <w:t xml:space="preserve">Men nå er Guds rettferdighet, som loven og profetene vitner om, blitt åpenbart uten loven, det er Guds rettferdighet ved tro på Jesus Kristus, </w:t>
      </w:r>
      <w:r>
        <w:rPr>
          <w:b/>
          <w:bCs/>
          <w:i/>
          <w:iCs/>
          <w:u w:val="single"/>
        </w:rPr>
        <w:t>til alle</w:t>
      </w:r>
      <w:r>
        <w:rPr>
          <w:b/>
          <w:bCs/>
          <w:i/>
          <w:iCs/>
        </w:rPr>
        <w:t xml:space="preserve"> og over alle som tror. - For det er ingen forskjell, </w:t>
      </w:r>
      <w:r>
        <w:rPr>
          <w:b/>
          <w:bCs/>
          <w:i/>
          <w:iCs/>
          <w:u w:val="single"/>
        </w:rPr>
        <w:t>alle</w:t>
      </w:r>
      <w:r>
        <w:rPr>
          <w:b/>
          <w:bCs/>
          <w:i/>
          <w:iCs/>
        </w:rPr>
        <w:t xml:space="preserve"> har syndet og står uten ære for Gud. Og </w:t>
      </w:r>
      <w:r>
        <w:rPr>
          <w:b/>
          <w:bCs/>
          <w:i/>
          <w:iCs/>
          <w:u w:val="single"/>
        </w:rPr>
        <w:t>de</w:t>
      </w:r>
      <w:r>
        <w:rPr>
          <w:b/>
          <w:bCs/>
          <w:i/>
          <w:iCs/>
        </w:rPr>
        <w:t xml:space="preserve"> blir rettferdiggjort uforskyldt av hans nåde ved forløsningen i Kristus Jesus</w:t>
      </w:r>
      <w:r>
        <w:t>, Rom 3,21-24.</w:t>
      </w:r>
    </w:p>
    <w:p w:rsidR="008D55BD" w:rsidRDefault="008D55BD" w:rsidP="008D55BD">
      <w:pPr>
        <w:spacing w:after="120"/>
        <w:rPr>
          <w:b/>
          <w:bCs/>
        </w:rPr>
      </w:pPr>
      <w:r>
        <w:t xml:space="preserve">Dermed klart at </w:t>
      </w:r>
      <w:r>
        <w:rPr>
          <w:b/>
          <w:bCs/>
        </w:rPr>
        <w:t>nevnte sangstrofe er bibelsk, ja, er evangeliets hovedbudskap!</w:t>
      </w:r>
    </w:p>
    <w:p w:rsidR="008D55BD" w:rsidRDefault="008D55BD" w:rsidP="008D55BD">
      <w:pPr>
        <w:spacing w:after="120"/>
      </w:pPr>
      <w:r>
        <w:t xml:space="preserve">Men så oppstod i forrige århundre også en høyst merkelig lære, og det til og med framholdt av noen av </w:t>
      </w:r>
      <w:proofErr w:type="gramStart"/>
      <w:r>
        <w:t>våre</w:t>
      </w:r>
      <w:proofErr w:type="gramEnd"/>
      <w:r>
        <w:t xml:space="preserve"> mest bibeltro og evangeliske lærere, nemlig denne, slik den er formulert av en av disse lærerne:</w:t>
      </w:r>
    </w:p>
    <w:p w:rsidR="008D55BD" w:rsidRDefault="008D55BD" w:rsidP="008D55BD">
      <w:pPr>
        <w:spacing w:after="120"/>
      </w:pPr>
      <w:r>
        <w:t>«Forsoningen er noe som er skjedd med hele verden under ett i Kristi død på korset i og med at alle mennesker og alle slekter til alle tider ble sammenfattet i ham. Rettferdiggjørelsen derimot er noe som utelukkende skjer med hvert menneske enkeltvis i og med at det ved troen mottar Guds nåde (formidlet ved Ordet og Sakramentene).»</w:t>
      </w:r>
    </w:p>
    <w:p w:rsidR="008D55BD" w:rsidRDefault="008D55BD" w:rsidP="008D55BD">
      <w:pPr>
        <w:spacing w:after="120"/>
      </w:pPr>
      <w:r>
        <w:t>Det første, om forsoningen, er bibelsk men mangler «den subjektive forsoningen»</w:t>
      </w:r>
      <w:r>
        <w:rPr>
          <w:b/>
          <w:bCs/>
        </w:rPr>
        <w:t>/</w:t>
      </w:r>
      <w:r>
        <w:t xml:space="preserve">sjelens tilegnelse av forsoningen, se 2Kor 5:20. Men siste del, om rettferdiggjørelsen, må vi i tro mot Guds ord bare spørre: Hvor har de fått det fra? En kan fristes til å tro de i sammenhengen har forvekslet den objektive og den subjektive rettferdiggjørelse. Men det er jo heller ikke det som er skjedd </w:t>
      </w:r>
      <w:proofErr w:type="gramStart"/>
      <w:r>
        <w:t>- .</w:t>
      </w:r>
      <w:proofErr w:type="gramEnd"/>
    </w:p>
    <w:p w:rsidR="008D55BD" w:rsidRDefault="008D55BD" w:rsidP="008D55BD">
      <w:pPr>
        <w:spacing w:after="120"/>
      </w:pPr>
      <w:r>
        <w:t>Hele Bibelen er full av dokumentasjon på at Jesus Kristus er vår rettferdighet – og er altså (objektivt sett) fullbrakt – men i Kristus alene, i og ved Jesu Kristi fullbrakte soningsverk! Se ovennevnte Rom 3:21-24!</w:t>
      </w:r>
    </w:p>
    <w:p w:rsidR="008D55BD" w:rsidRDefault="008D55BD" w:rsidP="008D55BD">
      <w:pPr>
        <w:spacing w:after="120"/>
      </w:pPr>
      <w:r>
        <w:lastRenderedPageBreak/>
        <w:t>Men vi vil nå ta dere med inn gjennom en bibelsk dokumentasjon som vi mener er særdeles underslått den senere tid, og som for oss virkelig ble som en åpenbarelse av dybden i evangeliets salige «altomfattende breddevirkning» i en sjel.</w:t>
      </w:r>
    </w:p>
    <w:p w:rsidR="008D55BD" w:rsidRDefault="008D55BD" w:rsidP="008D55BD">
      <w:pPr>
        <w:spacing w:after="120"/>
        <w:rPr>
          <w:i/>
          <w:iCs/>
          <w:lang w:val="en-US"/>
        </w:rPr>
      </w:pPr>
      <w:r>
        <w:t>Vi begynner med å henvise til Joh1:12 «</w:t>
      </w:r>
      <w:r>
        <w:rPr>
          <w:i/>
          <w:iCs/>
        </w:rPr>
        <w:t xml:space="preserve">Men alle dem som tok imot ham, dem gav han rett til å bli Guds barn, de som tror på hans navn». </w:t>
      </w:r>
      <w:r>
        <w:t xml:space="preserve">Men ordene: “dem gav han rett til...” finner vi i King James Version 1611 (1769) </w:t>
      </w:r>
      <w:proofErr w:type="gramStart"/>
      <w:r>
        <w:t>slik: .</w:t>
      </w:r>
      <w:proofErr w:type="gramEnd"/>
      <w:r>
        <w:t xml:space="preserve">. </w:t>
      </w:r>
      <w:r>
        <w:rPr>
          <w:lang w:val="en-US"/>
        </w:rPr>
        <w:t xml:space="preserve">«to them gave </w:t>
      </w:r>
      <w:proofErr w:type="spellStart"/>
      <w:r>
        <w:rPr>
          <w:lang w:val="en-US"/>
        </w:rPr>
        <w:t>he</w:t>
      </w:r>
      <w:proofErr w:type="spellEnd"/>
      <w:r>
        <w:rPr>
          <w:lang w:val="en-US"/>
        </w:rPr>
        <w:t xml:space="preserve"> power to become the sons of God»</w:t>
      </w:r>
    </w:p>
    <w:p w:rsidR="008D55BD" w:rsidRDefault="008D55BD" w:rsidP="008D55BD">
      <w:pPr>
        <w:spacing w:after="120"/>
        <w:rPr>
          <w:sz w:val="24"/>
          <w:szCs w:val="24"/>
        </w:rPr>
      </w:pPr>
      <w:r>
        <w:t xml:space="preserve">Der må altså en </w:t>
      </w:r>
      <w:r>
        <w:rPr>
          <w:b/>
          <w:bCs/>
          <w:i/>
          <w:iCs/>
        </w:rPr>
        <w:t xml:space="preserve">kraft </w:t>
      </w:r>
      <w:r>
        <w:t>til</w:t>
      </w:r>
      <w:r>
        <w:rPr>
          <w:b/>
          <w:bCs/>
        </w:rPr>
        <w:t xml:space="preserve"> </w:t>
      </w:r>
      <w:r>
        <w:t>fra Gud side for at vi kan bli født på ny</w:t>
      </w:r>
      <w:r>
        <w:rPr>
          <w:b/>
          <w:bCs/>
        </w:rPr>
        <w:t>/</w:t>
      </w:r>
      <w:r>
        <w:t xml:space="preserve">bli Guds barn ved troen på hans navn! Og denne Guds kraft kommer vi på sporet av i et Bibelens ord vi bare har hørt forkynt «sterkt amputert», nemlig dette: </w:t>
      </w:r>
    </w:p>
    <w:p w:rsidR="008D55BD" w:rsidRDefault="008D55BD" w:rsidP="008D55BD">
      <w:pPr>
        <w:spacing w:after="120"/>
        <w:rPr>
          <w:i/>
          <w:iCs/>
        </w:rPr>
      </w:pPr>
      <w:r>
        <w:rPr>
          <w:i/>
          <w:iCs/>
        </w:rPr>
        <w:t xml:space="preserve">For jeg skammer meg ikke ved evangeliet, for </w:t>
      </w:r>
      <w:r>
        <w:rPr>
          <w:b/>
          <w:bCs/>
          <w:i/>
          <w:iCs/>
          <w:u w:val="single"/>
        </w:rPr>
        <w:t>det er en Guds kraft til frelse</w:t>
      </w:r>
      <w:r>
        <w:rPr>
          <w:b/>
          <w:bCs/>
          <w:i/>
          <w:iCs/>
        </w:rPr>
        <w:t xml:space="preserve"> for hver den som tror</w:t>
      </w:r>
      <w:r>
        <w:rPr>
          <w:i/>
          <w:iCs/>
        </w:rPr>
        <w:t>, både for jøde først og så for greker.</w:t>
      </w:r>
    </w:p>
    <w:p w:rsidR="008D55BD" w:rsidRDefault="008D55BD" w:rsidP="008D55BD">
      <w:pPr>
        <w:spacing w:after="120"/>
      </w:pPr>
      <w:r>
        <w:rPr>
          <w:b/>
          <w:bCs/>
          <w:i/>
          <w:iCs/>
          <w:u w:val="single"/>
        </w:rPr>
        <w:t>For i det åpenbares Guds rettferdighet av tro</w:t>
      </w:r>
      <w:r>
        <w:rPr>
          <w:b/>
          <w:bCs/>
          <w:i/>
          <w:iCs/>
        </w:rPr>
        <w:t xml:space="preserve"> til tro</w:t>
      </w:r>
      <w:r>
        <w:rPr>
          <w:i/>
          <w:iCs/>
        </w:rPr>
        <w:t>. Som det står skrevet: Den rettferdige av tro, skal leve</w:t>
      </w:r>
      <w:r>
        <w:t>, Rom 1:16-17.</w:t>
      </w:r>
    </w:p>
    <w:p w:rsidR="008D55BD" w:rsidRDefault="008D55BD" w:rsidP="008D55BD">
      <w:pPr>
        <w:spacing w:after="120"/>
      </w:pPr>
      <w:r>
        <w:t>Så her får vi ytterligere dokumentert tilstrekkelig:</w:t>
      </w:r>
    </w:p>
    <w:p w:rsidR="008D55BD" w:rsidRDefault="008D55BD" w:rsidP="008D55BD">
      <w:pPr>
        <w:spacing w:after="120"/>
      </w:pPr>
      <w:r>
        <w:t xml:space="preserve">1: At evangeliet åpenbarer </w:t>
      </w:r>
      <w:r>
        <w:rPr>
          <w:b/>
          <w:bCs/>
          <w:u w:val="single"/>
        </w:rPr>
        <w:t>Guds rettferdighet</w:t>
      </w:r>
      <w:r>
        <w:rPr>
          <w:b/>
          <w:bCs/>
        </w:rPr>
        <w:t xml:space="preserve"> av tro</w:t>
      </w:r>
      <w:r>
        <w:t xml:space="preserve">, </w:t>
      </w:r>
      <w:r>
        <w:rPr>
          <w:b/>
          <w:bCs/>
        </w:rPr>
        <w:t>som forkynner Kristus</w:t>
      </w:r>
      <w:r>
        <w:t xml:space="preserve">, </w:t>
      </w:r>
      <w:r>
        <w:rPr>
          <w:b/>
          <w:bCs/>
          <w:u w:val="single"/>
        </w:rPr>
        <w:t>og altså er for alle</w:t>
      </w:r>
      <w:r>
        <w:t xml:space="preserve">, Rom 3.21-24, </w:t>
      </w:r>
      <w:r>
        <w:rPr>
          <w:b/>
          <w:bCs/>
        </w:rPr>
        <w:t>dermed er den Guds kraft som virker gjenfødelsen i sjelen</w:t>
      </w:r>
      <w:r>
        <w:t xml:space="preserve">. </w:t>
      </w:r>
    </w:p>
    <w:p w:rsidR="008D55BD" w:rsidRDefault="008D55BD" w:rsidP="008D55BD">
      <w:pPr>
        <w:spacing w:after="120"/>
        <w:rPr>
          <w:b/>
          <w:bCs/>
        </w:rPr>
      </w:pPr>
      <w:r>
        <w:t xml:space="preserve">Dette indirekte dokumentert i Rom10:3: «Da de ikke kjente Guds rettferdighet, men søkte å grunnlegge sin egen rettferdighet, </w:t>
      </w:r>
      <w:r>
        <w:rPr>
          <w:b/>
          <w:bCs/>
        </w:rPr>
        <w:t>gav de seg ikke inn under Guds rettferdighet».</w:t>
      </w:r>
    </w:p>
    <w:p w:rsidR="008D55BD" w:rsidRDefault="008D55BD" w:rsidP="008D55BD">
      <w:pPr>
        <w:spacing w:after="120"/>
      </w:pPr>
      <w:r>
        <w:t xml:space="preserve">Å bli </w:t>
      </w:r>
      <w:r>
        <w:rPr>
          <w:b/>
          <w:bCs/>
        </w:rPr>
        <w:t>født</w:t>
      </w:r>
      <w:r>
        <w:t xml:space="preserve"> på ny</w:t>
      </w:r>
      <w:r>
        <w:rPr>
          <w:b/>
          <w:bCs/>
        </w:rPr>
        <w:t>/</w:t>
      </w:r>
      <w:r>
        <w:t>bli frelst skjer altså når Gud</w:t>
      </w:r>
      <w:r>
        <w:rPr>
          <w:i/>
          <w:iCs/>
        </w:rPr>
        <w:t xml:space="preserve"> </w:t>
      </w:r>
      <w:r>
        <w:rPr>
          <w:b/>
          <w:bCs/>
        </w:rPr>
        <w:t xml:space="preserve">ved åpenbarelsen av sin rettferdighet i Jesus Kristus </w:t>
      </w:r>
      <w:r>
        <w:t>«åpner himmeldøren» for oss og drar oss mot Kristus, og at vi da ikke motsetter oss dette, men «gir oss inn under Guds rettferdighet».</w:t>
      </w:r>
    </w:p>
    <w:p w:rsidR="008D55BD" w:rsidRDefault="008D55BD" w:rsidP="008D55BD">
      <w:pPr>
        <w:spacing w:after="120"/>
        <w:rPr>
          <w:b/>
          <w:bCs/>
        </w:rPr>
      </w:pPr>
      <w:r>
        <w:t>Altså her ytterligere dokumentert at «</w:t>
      </w:r>
      <w:r>
        <w:rPr>
          <w:b/>
          <w:bCs/>
        </w:rPr>
        <w:t xml:space="preserve">den objektive rettferdiggjørelse» er </w:t>
      </w:r>
      <w:proofErr w:type="gramStart"/>
      <w:r>
        <w:rPr>
          <w:b/>
          <w:bCs/>
        </w:rPr>
        <w:t>tilstede</w:t>
      </w:r>
      <w:proofErr w:type="gramEnd"/>
      <w:r>
        <w:rPr>
          <w:b/>
          <w:bCs/>
        </w:rPr>
        <w:t xml:space="preserve"> i Kristus for alle/hele verden </w:t>
      </w:r>
      <w:r>
        <w:rPr>
          <w:b/>
          <w:bCs/>
          <w:u w:val="single"/>
        </w:rPr>
        <w:t>før et menneske omvendes/gjenfødes</w:t>
      </w:r>
      <w:r>
        <w:rPr>
          <w:b/>
          <w:bCs/>
        </w:rPr>
        <w:t xml:space="preserve"> – og er til og med det som virker selve gjenfødelsen!</w:t>
      </w:r>
    </w:p>
    <w:p w:rsidR="008D55BD" w:rsidRDefault="008D55BD" w:rsidP="008D55BD">
      <w:pPr>
        <w:spacing w:after="120"/>
        <w:rPr>
          <w:b/>
          <w:bCs/>
        </w:rPr>
      </w:pPr>
      <w:r>
        <w:t xml:space="preserve">Og her samtidig åpenbart noe av evangeliets «altomfattende breddevirkning» - idet </w:t>
      </w:r>
      <w:r>
        <w:rPr>
          <w:b/>
          <w:bCs/>
        </w:rPr>
        <w:t xml:space="preserve">«den subjektive rettferdiggjørelse»/sjelens tilegnelse av Guds rettferdiggjørelse skjer idet </w:t>
      </w:r>
      <w:r>
        <w:t>«den objektive»</w:t>
      </w:r>
      <w:r>
        <w:rPr>
          <w:b/>
          <w:bCs/>
        </w:rPr>
        <w:t xml:space="preserve"> Guds rettferdighet i Jesus Kristus åpenbares for sjelen, og åpner døren til og drar sjelen inn under Guds rettferdighet – hvor sjelen ER rettferdiggjort av Gud!</w:t>
      </w:r>
    </w:p>
    <w:p w:rsidR="008D55BD" w:rsidRDefault="008D55BD" w:rsidP="008D55BD">
      <w:pPr>
        <w:spacing w:after="120"/>
        <w:rPr>
          <w:b/>
          <w:bCs/>
        </w:rPr>
      </w:pPr>
      <w:r>
        <w:t>Og dermed dokumentert:</w:t>
      </w:r>
      <w:r>
        <w:rPr>
          <w:b/>
          <w:bCs/>
        </w:rPr>
        <w:t xml:space="preserve"> Rettferdiggjørelsen ikke noe «derimot» - men fullstendig parallelt med forsoningen: Fullbrakt i og ved Jesu Kristi soningsverk, tilegnet ved tro i gjenfødelsen.</w:t>
      </w:r>
    </w:p>
    <w:p w:rsidR="008D55BD" w:rsidRDefault="008D55BD" w:rsidP="008D55BD">
      <w:pPr>
        <w:spacing w:after="120"/>
      </w:pPr>
    </w:p>
    <w:p w:rsidR="008D55BD" w:rsidRDefault="008D55BD" w:rsidP="008D55BD">
      <w:pPr>
        <w:spacing w:after="120"/>
      </w:pPr>
      <w:r>
        <w:t>Og vi kan føye til at tilbakemeldinger vi har fått viser at mer enn én sjel «fikk liksom en helt ny tro» (og andre tilsvarende formuleringer som kan tyde på en ren gjenfødelse) virket ved budskapet i dette heftet: «Om rettferdiggjørelsen innfor Gud».             Og kjennetegnet på en klar gjenfødelse erfarer vi alltid er at evangeliet om Guds Sønns fullbrakte verk for oss er blitt åpenbart for sjelen.</w:t>
      </w:r>
    </w:p>
    <w:p w:rsidR="008D55BD" w:rsidRDefault="008D55BD" w:rsidP="008D55BD">
      <w:pPr>
        <w:spacing w:after="120"/>
      </w:pPr>
    </w:p>
    <w:p w:rsidR="008D55BD" w:rsidRDefault="008D55BD" w:rsidP="008D55BD">
      <w:pPr>
        <w:spacing w:after="120"/>
        <w:rPr>
          <w:b/>
          <w:bCs/>
        </w:rPr>
      </w:pPr>
      <w:r>
        <w:rPr>
          <w:b/>
          <w:bCs/>
        </w:rPr>
        <w:t xml:space="preserve">Hjertelig hilsen </w:t>
      </w:r>
    </w:p>
    <w:p w:rsidR="008D55BD" w:rsidRDefault="008D55BD" w:rsidP="008D55BD">
      <w:pPr>
        <w:spacing w:after="120"/>
        <w:rPr>
          <w:b/>
          <w:bCs/>
        </w:rPr>
      </w:pPr>
      <w:proofErr w:type="gramStart"/>
      <w:r>
        <w:rPr>
          <w:b/>
          <w:bCs/>
        </w:rPr>
        <w:t>med ønske om en velsignet pinsehelg!</w:t>
      </w:r>
      <w:proofErr w:type="gramEnd"/>
    </w:p>
    <w:p w:rsidR="008D55BD" w:rsidRDefault="008D55BD" w:rsidP="008D55BD">
      <w:pPr>
        <w:spacing w:after="120"/>
      </w:pPr>
      <w:r>
        <w:t>Hermod og Karin</w:t>
      </w:r>
    </w:p>
    <w:p w:rsidR="008D55BD" w:rsidRDefault="008D55BD" w:rsidP="008D55BD">
      <w:pPr>
        <w:rPr>
          <w:rFonts w:ascii="Times New Roman" w:hAnsi="Times New Roman"/>
          <w:i/>
          <w:iCs/>
          <w:sz w:val="24"/>
          <w:szCs w:val="24"/>
          <w:lang w:eastAsia="nb-NO"/>
        </w:rPr>
      </w:pPr>
      <w:r>
        <w:rPr>
          <w:rFonts w:ascii="Times New Roman" w:hAnsi="Times New Roman"/>
          <w:i/>
          <w:iCs/>
          <w:sz w:val="24"/>
          <w:szCs w:val="24"/>
          <w:lang w:eastAsia="nb-NO"/>
        </w:rPr>
        <w:t xml:space="preserve">Hermod </w:t>
      </w:r>
      <w:proofErr w:type="spellStart"/>
      <w:r>
        <w:rPr>
          <w:rFonts w:ascii="Times New Roman" w:hAnsi="Times New Roman"/>
          <w:i/>
          <w:iCs/>
          <w:sz w:val="24"/>
          <w:szCs w:val="24"/>
          <w:lang w:eastAsia="nb-NO"/>
        </w:rPr>
        <w:t>Hogganvik</w:t>
      </w:r>
      <w:proofErr w:type="spellEnd"/>
    </w:p>
    <w:p w:rsidR="008D55BD" w:rsidRDefault="008D55BD" w:rsidP="008D55BD">
      <w:pPr>
        <w:rPr>
          <w:lang w:eastAsia="nb-NO"/>
        </w:rPr>
      </w:pPr>
      <w:r>
        <w:rPr>
          <w:lang w:eastAsia="nb-NO"/>
        </w:rPr>
        <w:t>Arven Forlag</w:t>
      </w:r>
    </w:p>
    <w:p w:rsidR="008D55BD" w:rsidRDefault="008D55BD" w:rsidP="008D55BD">
      <w:pPr>
        <w:rPr>
          <w:lang w:eastAsia="nb-NO"/>
        </w:rPr>
      </w:pPr>
      <w:hyperlink r:id="rId7" w:history="1">
        <w:r>
          <w:rPr>
            <w:rStyle w:val="Hyperkobling"/>
            <w:lang w:eastAsia="nb-NO"/>
          </w:rPr>
          <w:t>www.arven.net</w:t>
        </w:r>
      </w:hyperlink>
    </w:p>
    <w:p w:rsidR="008D55BD" w:rsidRDefault="008D55BD" w:rsidP="008D55BD"/>
    <w:p w:rsidR="009652BD" w:rsidRDefault="009652BD"/>
    <w:sectPr w:rsidR="009652B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1B6" w:rsidRDefault="001421B6" w:rsidP="008D55BD">
      <w:r>
        <w:separator/>
      </w:r>
    </w:p>
  </w:endnote>
  <w:endnote w:type="continuationSeparator" w:id="0">
    <w:p w:rsidR="001421B6" w:rsidRDefault="001421B6" w:rsidP="008D5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5BD" w:rsidRDefault="008D55BD">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7829912"/>
      <w:docPartObj>
        <w:docPartGallery w:val="Page Numbers (Bottom of Page)"/>
        <w:docPartUnique/>
      </w:docPartObj>
    </w:sdtPr>
    <w:sdtContent>
      <w:bookmarkStart w:id="0" w:name="_GoBack" w:displacedByCustomXml="prev"/>
      <w:bookmarkEnd w:id="0" w:displacedByCustomXml="prev"/>
      <w:p w:rsidR="008D55BD" w:rsidRDefault="008D55BD">
        <w:pPr>
          <w:pStyle w:val="Bunntekst"/>
          <w:jc w:val="right"/>
        </w:pPr>
        <w:r>
          <w:fldChar w:fldCharType="begin"/>
        </w:r>
        <w:r>
          <w:instrText>PAGE   \* MERGEFORMAT</w:instrText>
        </w:r>
        <w:r>
          <w:fldChar w:fldCharType="separate"/>
        </w:r>
        <w:r>
          <w:rPr>
            <w:noProof/>
          </w:rPr>
          <w:t>2</w:t>
        </w:r>
        <w:r>
          <w:fldChar w:fldCharType="end"/>
        </w:r>
      </w:p>
    </w:sdtContent>
  </w:sdt>
  <w:p w:rsidR="008D55BD" w:rsidRDefault="008D55BD">
    <w:pPr>
      <w:pStyle w:val="Bunn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5BD" w:rsidRDefault="008D55BD">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1B6" w:rsidRDefault="001421B6" w:rsidP="008D55BD">
      <w:r>
        <w:separator/>
      </w:r>
    </w:p>
  </w:footnote>
  <w:footnote w:type="continuationSeparator" w:id="0">
    <w:p w:rsidR="001421B6" w:rsidRDefault="001421B6" w:rsidP="008D55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5BD" w:rsidRDefault="008D55BD">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5BD" w:rsidRDefault="008D55BD">
    <w:pPr>
      <w:pStyle w:val="Top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5BD" w:rsidRDefault="008D55BD">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5BD"/>
    <w:rsid w:val="001421B6"/>
    <w:rsid w:val="00643546"/>
    <w:rsid w:val="008D55BD"/>
    <w:rsid w:val="009652B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5BD"/>
    <w:pPr>
      <w:spacing w:after="0" w:line="240" w:lineRule="auto"/>
    </w:pPr>
    <w:rPr>
      <w:rFonts w:ascii="Calibri" w:hAnsi="Calibri" w:cs="Times New Roman"/>
      <w:sz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semiHidden/>
    <w:unhideWhenUsed/>
    <w:rsid w:val="008D55BD"/>
    <w:rPr>
      <w:color w:val="0563C1"/>
      <w:u w:val="single"/>
    </w:rPr>
  </w:style>
  <w:style w:type="paragraph" w:styleId="Topptekst">
    <w:name w:val="header"/>
    <w:basedOn w:val="Normal"/>
    <w:link w:val="TopptekstTegn"/>
    <w:uiPriority w:val="99"/>
    <w:unhideWhenUsed/>
    <w:rsid w:val="008D55BD"/>
    <w:pPr>
      <w:tabs>
        <w:tab w:val="center" w:pos="4536"/>
        <w:tab w:val="right" w:pos="9072"/>
      </w:tabs>
    </w:pPr>
  </w:style>
  <w:style w:type="character" w:customStyle="1" w:styleId="TopptekstTegn">
    <w:name w:val="Topptekst Tegn"/>
    <w:basedOn w:val="Standardskriftforavsnitt"/>
    <w:link w:val="Topptekst"/>
    <w:uiPriority w:val="99"/>
    <w:rsid w:val="008D55BD"/>
    <w:rPr>
      <w:rFonts w:ascii="Calibri" w:hAnsi="Calibri" w:cs="Times New Roman"/>
      <w:sz w:val="22"/>
    </w:rPr>
  </w:style>
  <w:style w:type="paragraph" w:styleId="Bunntekst">
    <w:name w:val="footer"/>
    <w:basedOn w:val="Normal"/>
    <w:link w:val="BunntekstTegn"/>
    <w:uiPriority w:val="99"/>
    <w:unhideWhenUsed/>
    <w:rsid w:val="008D55BD"/>
    <w:pPr>
      <w:tabs>
        <w:tab w:val="center" w:pos="4536"/>
        <w:tab w:val="right" w:pos="9072"/>
      </w:tabs>
    </w:pPr>
  </w:style>
  <w:style w:type="character" w:customStyle="1" w:styleId="BunntekstTegn">
    <w:name w:val="Bunntekst Tegn"/>
    <w:basedOn w:val="Standardskriftforavsnitt"/>
    <w:link w:val="Bunntekst"/>
    <w:uiPriority w:val="99"/>
    <w:rsid w:val="008D55BD"/>
    <w:rPr>
      <w:rFonts w:ascii="Calibri"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5BD"/>
    <w:pPr>
      <w:spacing w:after="0" w:line="240" w:lineRule="auto"/>
    </w:pPr>
    <w:rPr>
      <w:rFonts w:ascii="Calibri" w:hAnsi="Calibri" w:cs="Times New Roman"/>
      <w:sz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semiHidden/>
    <w:unhideWhenUsed/>
    <w:rsid w:val="008D55BD"/>
    <w:rPr>
      <w:color w:val="0563C1"/>
      <w:u w:val="single"/>
    </w:rPr>
  </w:style>
  <w:style w:type="paragraph" w:styleId="Topptekst">
    <w:name w:val="header"/>
    <w:basedOn w:val="Normal"/>
    <w:link w:val="TopptekstTegn"/>
    <w:uiPriority w:val="99"/>
    <w:unhideWhenUsed/>
    <w:rsid w:val="008D55BD"/>
    <w:pPr>
      <w:tabs>
        <w:tab w:val="center" w:pos="4536"/>
        <w:tab w:val="right" w:pos="9072"/>
      </w:tabs>
    </w:pPr>
  </w:style>
  <w:style w:type="character" w:customStyle="1" w:styleId="TopptekstTegn">
    <w:name w:val="Topptekst Tegn"/>
    <w:basedOn w:val="Standardskriftforavsnitt"/>
    <w:link w:val="Topptekst"/>
    <w:uiPriority w:val="99"/>
    <w:rsid w:val="008D55BD"/>
    <w:rPr>
      <w:rFonts w:ascii="Calibri" w:hAnsi="Calibri" w:cs="Times New Roman"/>
      <w:sz w:val="22"/>
    </w:rPr>
  </w:style>
  <w:style w:type="paragraph" w:styleId="Bunntekst">
    <w:name w:val="footer"/>
    <w:basedOn w:val="Normal"/>
    <w:link w:val="BunntekstTegn"/>
    <w:uiPriority w:val="99"/>
    <w:unhideWhenUsed/>
    <w:rsid w:val="008D55BD"/>
    <w:pPr>
      <w:tabs>
        <w:tab w:val="center" w:pos="4536"/>
        <w:tab w:val="right" w:pos="9072"/>
      </w:tabs>
    </w:pPr>
  </w:style>
  <w:style w:type="character" w:customStyle="1" w:styleId="BunntekstTegn">
    <w:name w:val="Bunntekst Tegn"/>
    <w:basedOn w:val="Standardskriftforavsnitt"/>
    <w:link w:val="Bunntekst"/>
    <w:uiPriority w:val="99"/>
    <w:rsid w:val="008D55BD"/>
    <w:rPr>
      <w:rFonts w:ascii="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arven.net"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1072</Words>
  <Characters>5687</Characters>
  <Application>Microsoft Office Word</Application>
  <DocSecurity>0</DocSecurity>
  <Lines>47</Lines>
  <Paragraphs>13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Hermod</dc:creator>
  <cp:lastModifiedBy>Hermod</cp:lastModifiedBy>
  <cp:revision>1</cp:revision>
  <dcterms:created xsi:type="dcterms:W3CDTF">2016-05-14T08:42:00Z</dcterms:created>
  <dcterms:modified xsi:type="dcterms:W3CDTF">2016-05-14T08:43:00Z</dcterms:modified>
</cp:coreProperties>
</file>