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09" w:rsidRDefault="00826F09" w:rsidP="00826F09">
      <w:pPr>
        <w:jc w:val="both"/>
        <w:rPr>
          <w:b/>
          <w:bCs/>
        </w:rPr>
      </w:pPr>
    </w:p>
    <w:p w:rsidR="00826F09" w:rsidRDefault="00826F09" w:rsidP="00826F09">
      <w:pPr>
        <w:jc w:val="both"/>
        <w:rPr>
          <w:b/>
          <w:bCs/>
        </w:rPr>
      </w:pPr>
      <w:r>
        <w:rPr>
          <w:b/>
          <w:bCs/>
        </w:rPr>
        <w:t xml:space="preserve">I en telefonsamtale nylig ble det spørsmål om hva en kan si spesielt kjennetegner </w:t>
      </w:r>
      <w:proofErr w:type="spellStart"/>
      <w:r>
        <w:rPr>
          <w:b/>
          <w:bCs/>
        </w:rPr>
        <w:t>Rosenius</w:t>
      </w:r>
      <w:proofErr w:type="spellEnd"/>
      <w:r>
        <w:rPr>
          <w:b/>
          <w:bCs/>
        </w:rPr>
        <w:t>’ forkynnelse. Så fikk vi lyst til å sende ut til dere alle svaret vi gav på spørsmålet.</w:t>
      </w:r>
    </w:p>
    <w:p w:rsidR="00826F09" w:rsidRDefault="00826F09" w:rsidP="00826F09">
      <w:pPr>
        <w:jc w:val="both"/>
      </w:pPr>
    </w:p>
    <w:p w:rsidR="00826F09" w:rsidRDefault="00826F09" w:rsidP="00826F09">
      <w:pPr>
        <w:jc w:val="both"/>
      </w:pPr>
      <w:r>
        <w:t xml:space="preserve">Her er to punkter vi spesielt mener kjennetegner hele </w:t>
      </w:r>
      <w:proofErr w:type="spellStart"/>
      <w:r>
        <w:t>Rosenius</w:t>
      </w:r>
      <w:proofErr w:type="spellEnd"/>
      <w:r>
        <w:t>’ forkynnelse:</w:t>
      </w:r>
    </w:p>
    <w:p w:rsidR="00826F09" w:rsidRDefault="00826F09" w:rsidP="00826F09">
      <w:pPr>
        <w:jc w:val="both"/>
      </w:pPr>
    </w:p>
    <w:p w:rsidR="00826F09" w:rsidRDefault="00826F09" w:rsidP="00826F09">
      <w:pPr>
        <w:jc w:val="both"/>
      </w:pPr>
      <w:r>
        <w:rPr>
          <w:b/>
          <w:bCs/>
        </w:rPr>
        <w:t xml:space="preserve">1: </w:t>
      </w:r>
      <w:proofErr w:type="spellStart"/>
      <w:r>
        <w:rPr>
          <w:b/>
          <w:bCs/>
        </w:rPr>
        <w:t>Tilregnelsen</w:t>
      </w:r>
      <w:proofErr w:type="spellEnd"/>
      <w:r>
        <w:t xml:space="preserve"> – av Adams synd og av Kristi fullbrakte verk. Se første bind «Romerbrevets budskap kap.1-5» under Rom 5:16-17:</w:t>
      </w:r>
    </w:p>
    <w:p w:rsidR="00826F09" w:rsidRDefault="00826F09" w:rsidP="00826F09">
      <w:pPr>
        <w:jc w:val="both"/>
      </w:pPr>
    </w:p>
    <w:p w:rsidR="00826F09" w:rsidRDefault="00826F09" w:rsidP="00826F09">
      <w:pPr>
        <w:jc w:val="both"/>
      </w:pPr>
      <w:r>
        <w:t>«For liksom de mange kom til å stå som syndere ved det ene menneskes ulydighet, så skal også de mange stå som rettferdige ved den enes lydighet»</w:t>
      </w:r>
    </w:p>
    <w:p w:rsidR="00826F09" w:rsidRDefault="00826F09" w:rsidP="00826F09">
      <w:pPr>
        <w:jc w:val="both"/>
      </w:pPr>
      <w:r>
        <w:t>Dette er apostelens avslutning på å forklare den vidunderlige liknelsen (v. 12-19). "De mange kom til å stå som syndere ved det ene menneskes ulydighet". Igjen sies det her at "de mange", dvs. alle Adams barn (se under v. 15), ble syndere "ved det ene menneskes ulydighet". Det at vi arvet Adams natur, utgjorde i seg selv en straff, og et følbart bevis på at vi er delaktig i hans synd. Men det er ikke dette forholdet teksten vår sikter til. Som vi har sett tidligere, slik er det også her vår konkrete delaktighet i det første syndefallet, da vi alle syndet i og ved vår stamfar og stedfortreder, det tales om. Derfor ser vi også apostelens språkbruk: "de mange kom til å stå som syndere", skildrer hvordan vi, uten noen medvirkning fra vår side, bare "kom til å stå" - som syndere.</w:t>
      </w:r>
    </w:p>
    <w:p w:rsidR="00826F09" w:rsidRDefault="00826F09" w:rsidP="00826F09">
      <w:pPr>
        <w:jc w:val="both"/>
        <w:rPr>
          <w:b/>
          <w:bCs/>
        </w:rPr>
      </w:pPr>
    </w:p>
    <w:p w:rsidR="00826F09" w:rsidRDefault="00826F09" w:rsidP="00826F09">
      <w:pPr>
        <w:jc w:val="both"/>
        <w:rPr>
          <w:b/>
          <w:bCs/>
        </w:rPr>
      </w:pPr>
      <w:proofErr w:type="gramStart"/>
      <w:r>
        <w:rPr>
          <w:b/>
          <w:bCs/>
        </w:rPr>
        <w:t>....</w:t>
      </w:r>
      <w:proofErr w:type="gramEnd"/>
      <w:r>
        <w:rPr>
          <w:b/>
          <w:bCs/>
        </w:rPr>
        <w:t xml:space="preserve"> det store hovedspørsmålet er jo nettopp dette: Skal vi dømmes bare etter det vi selv har gjort - eller etter det en annen har gjort?</w:t>
      </w:r>
    </w:p>
    <w:p w:rsidR="00826F09" w:rsidRDefault="00826F09" w:rsidP="00826F09">
      <w:pPr>
        <w:jc w:val="both"/>
      </w:pPr>
    </w:p>
    <w:p w:rsidR="00826F09" w:rsidRDefault="00826F09" w:rsidP="00826F09">
      <w:pPr>
        <w:jc w:val="both"/>
        <w:rPr>
          <w:b/>
          <w:bCs/>
        </w:rPr>
      </w:pPr>
      <w:r>
        <w:rPr>
          <w:b/>
          <w:bCs/>
        </w:rPr>
        <w:t>Her står vi overfor Guds store hemmelighet: Hvordan Gud tilregner - så vel Adams synd, som Kristi rettferdighet -!</w:t>
      </w:r>
    </w:p>
    <w:p w:rsidR="00826F09" w:rsidRDefault="00826F09" w:rsidP="00826F09">
      <w:pPr>
        <w:jc w:val="both"/>
        <w:rPr>
          <w:b/>
          <w:bCs/>
        </w:rPr>
      </w:pPr>
      <w:r>
        <w:rPr>
          <w:b/>
          <w:bCs/>
        </w:rPr>
        <w:t>Det er etter denne guddommelige læren vår frelse står eller faller.</w:t>
      </w:r>
    </w:p>
    <w:p w:rsidR="00826F09" w:rsidRDefault="00826F09" w:rsidP="00826F09">
      <w:pPr>
        <w:jc w:val="both"/>
        <w:rPr>
          <w:b/>
          <w:bCs/>
        </w:rPr>
      </w:pPr>
      <w:r>
        <w:rPr>
          <w:b/>
          <w:bCs/>
        </w:rPr>
        <w:t>Er ikke Adams synd vår - så er heller ikke Kristi rettferdighet vår!</w:t>
      </w:r>
    </w:p>
    <w:p w:rsidR="00826F09" w:rsidRDefault="00826F09" w:rsidP="00826F09">
      <w:pPr>
        <w:jc w:val="both"/>
        <w:rPr>
          <w:b/>
          <w:bCs/>
        </w:rPr>
      </w:pPr>
    </w:p>
    <w:p w:rsidR="00826F09" w:rsidRDefault="00826F09" w:rsidP="00826F09">
      <w:pPr>
        <w:jc w:val="both"/>
        <w:rPr>
          <w:b/>
          <w:bCs/>
        </w:rPr>
      </w:pPr>
      <w:r>
        <w:rPr>
          <w:b/>
          <w:bCs/>
        </w:rPr>
        <w:t>Loven sier: "hver den som ...", dvs. at vi hver for oss skal erverve oss evig liv, eller evig død. Men evangeliet sier: "ved den ene". Gjennom én er døden kommet over alle mennesker, allerede før de selv ved egne gjerninger var skyldig til døden. På samme måte kommer rettferdighet og evig liv over alle dem som er Kristi ætt, uten at de ved egne gjerninger har oppnådd livet. Dette er jo summen av hele Skriftens budskap.</w:t>
      </w:r>
    </w:p>
    <w:p w:rsidR="00826F09" w:rsidRDefault="00826F09" w:rsidP="00826F09">
      <w:pPr>
        <w:jc w:val="both"/>
        <w:rPr>
          <w:b/>
          <w:bCs/>
        </w:rPr>
      </w:pPr>
    </w:p>
    <w:p w:rsidR="00826F09" w:rsidRDefault="00826F09" w:rsidP="00826F09">
      <w:pPr>
        <w:jc w:val="both"/>
        <w:rPr>
          <w:b/>
          <w:bCs/>
        </w:rPr>
      </w:pPr>
      <w:proofErr w:type="gramStart"/>
      <w:r>
        <w:rPr>
          <w:b/>
          <w:bCs/>
        </w:rPr>
        <w:t>....</w:t>
      </w:r>
      <w:proofErr w:type="gramEnd"/>
      <w:r>
        <w:rPr>
          <w:b/>
          <w:bCs/>
        </w:rPr>
        <w:t xml:space="preserve"> både synd og rettferdighet er kommet ved at vi har fått del i en annens gjerning.</w:t>
      </w:r>
    </w:p>
    <w:p w:rsidR="00826F09" w:rsidRDefault="00826F09" w:rsidP="00826F09">
      <w:pPr>
        <w:jc w:val="both"/>
        <w:rPr>
          <w:b/>
          <w:bCs/>
        </w:rPr>
      </w:pPr>
    </w:p>
    <w:p w:rsidR="00826F09" w:rsidRDefault="00826F09" w:rsidP="00826F09">
      <w:pPr>
        <w:jc w:val="both"/>
        <w:rPr>
          <w:b/>
          <w:bCs/>
        </w:rPr>
      </w:pPr>
      <w:r>
        <w:rPr>
          <w:b/>
          <w:bCs/>
        </w:rPr>
        <w:t xml:space="preserve">Det er altså den store læren om </w:t>
      </w:r>
      <w:proofErr w:type="spellStart"/>
      <w:r>
        <w:rPr>
          <w:b/>
          <w:bCs/>
        </w:rPr>
        <w:t>tilregnelsen</w:t>
      </w:r>
      <w:proofErr w:type="spellEnd"/>
      <w:r>
        <w:rPr>
          <w:b/>
          <w:bCs/>
        </w:rPr>
        <w:t xml:space="preserve"> vi har foran oss her. Den er av avgjørende betydning for hele kristendommen. Og det er imot denne </w:t>
      </w:r>
      <w:proofErr w:type="spellStart"/>
      <w:r>
        <w:rPr>
          <w:b/>
          <w:bCs/>
        </w:rPr>
        <w:t>hovedlæren</w:t>
      </w:r>
      <w:proofErr w:type="spellEnd"/>
      <w:r>
        <w:rPr>
          <w:b/>
          <w:bCs/>
        </w:rPr>
        <w:t xml:space="preserve"> både vantroen og fornuften alltid kjemper de hardeste kampene.</w:t>
      </w:r>
    </w:p>
    <w:p w:rsidR="00826F09" w:rsidRDefault="00826F09" w:rsidP="00826F09">
      <w:pPr>
        <w:jc w:val="both"/>
        <w:rPr>
          <w:b/>
          <w:bCs/>
        </w:rPr>
      </w:pPr>
    </w:p>
    <w:p w:rsidR="00826F09" w:rsidRDefault="00826F09" w:rsidP="00826F09">
      <w:pPr>
        <w:jc w:val="both"/>
      </w:pPr>
      <w:r>
        <w:t xml:space="preserve">-------------------------------------------------------------------------------------------------- </w:t>
      </w:r>
    </w:p>
    <w:p w:rsidR="00826F09" w:rsidRDefault="00826F09" w:rsidP="00826F09">
      <w:pPr>
        <w:jc w:val="both"/>
      </w:pPr>
    </w:p>
    <w:p w:rsidR="00826F09" w:rsidRDefault="00826F09" w:rsidP="00826F09">
      <w:pPr>
        <w:jc w:val="both"/>
        <w:rPr>
          <w:b/>
          <w:bCs/>
        </w:rPr>
      </w:pPr>
      <w:r>
        <w:rPr>
          <w:b/>
          <w:bCs/>
        </w:rPr>
        <w:t>2: Utleggelsen av Rom 3:25-26 i samme første bind.</w:t>
      </w:r>
    </w:p>
    <w:p w:rsidR="00826F09" w:rsidRDefault="00826F09" w:rsidP="00826F09">
      <w:pPr>
        <w:jc w:val="both"/>
        <w:rPr>
          <w:b/>
          <w:bCs/>
        </w:rPr>
      </w:pPr>
      <w:r>
        <w:t xml:space="preserve">«Ham stilte Gud til skue i hans blod som en nådestol ved troen, for å vise sin </w:t>
      </w:r>
      <w:proofErr w:type="gramStart"/>
      <w:r>
        <w:t>rettferdighet,  [</w:t>
      </w:r>
      <w:proofErr w:type="gramEnd"/>
      <w:r>
        <w:t>...] i den tid som nå er</w:t>
      </w:r>
      <w:r>
        <w:rPr>
          <w:u w:val="single"/>
        </w:rPr>
        <w:t xml:space="preserve">, </w:t>
      </w:r>
      <w:r>
        <w:rPr>
          <w:b/>
          <w:bCs/>
          <w:u w:val="single"/>
        </w:rPr>
        <w:t>så han kunne være rettferdig og rettferdiggjøre den som har troen på Jesus.»</w:t>
      </w:r>
    </w:p>
    <w:p w:rsidR="00826F09" w:rsidRDefault="00826F09" w:rsidP="00826F09">
      <w:pPr>
        <w:jc w:val="both"/>
      </w:pPr>
    </w:p>
    <w:p w:rsidR="00826F09" w:rsidRDefault="00826F09" w:rsidP="00826F09">
      <w:pPr>
        <w:jc w:val="both"/>
      </w:pPr>
      <w:r>
        <w:t xml:space="preserve">Hadde han ikke fremskaffet en etter loven fullkommen godtgjørelse for alle våre synder, så hadde han ikke kunnet rettferdiggjøre syndere - og samtidig selv opprettholde sin fullkomne rettferdighet i håndhevelse av loven. For denne rettferdigheten krevde at syndere skulle straffes, - ikke rettferdiggjøres. Men nå er en forsoning skjedd etter loven. Da kan han "selv være rettferdig og gjøre den rettferdig </w:t>
      </w:r>
      <w:r>
        <w:rPr>
          <w:u w:val="single"/>
        </w:rPr>
        <w:t xml:space="preserve">som er av </w:t>
      </w:r>
      <w:proofErr w:type="gramStart"/>
      <w:r>
        <w:rPr>
          <w:u w:val="single"/>
        </w:rPr>
        <w:t>Jesu  tro</w:t>
      </w:r>
      <w:proofErr w:type="gramEnd"/>
      <w:r>
        <w:rPr>
          <w:u w:val="single"/>
        </w:rPr>
        <w:t>», slik ordene i grunnteksten bokstavelig lyder</w:t>
      </w:r>
      <w:r>
        <w:t xml:space="preserve">.... </w:t>
      </w:r>
    </w:p>
    <w:p w:rsidR="00826F09" w:rsidRDefault="00826F09" w:rsidP="00826F09">
      <w:pPr>
        <w:jc w:val="both"/>
      </w:pPr>
      <w:r>
        <w:lastRenderedPageBreak/>
        <w:t>På denne måten skjer synderes benådning helt i samsvar med selve den guddommelige rettferdigheten. Og var det ikke slik, da kunne jeg ikke holde ut i troen på Guds nåde. .......</w:t>
      </w:r>
    </w:p>
    <w:p w:rsidR="00826F09" w:rsidRDefault="00826F09" w:rsidP="00826F09">
      <w:pPr>
        <w:jc w:val="both"/>
      </w:pPr>
    </w:p>
    <w:p w:rsidR="00826F09" w:rsidRDefault="00826F09" w:rsidP="00826F09">
      <w:pPr>
        <w:jc w:val="both"/>
        <w:rPr>
          <w:b/>
          <w:bCs/>
        </w:rPr>
      </w:pPr>
      <w:r>
        <w:rPr>
          <w:b/>
          <w:bCs/>
        </w:rPr>
        <w:t xml:space="preserve">Men nå har den store Herren Gud fattet en evig frelsesplan, som er slik at selve rettferdigheten krever vår benådning. </w:t>
      </w:r>
      <w:r>
        <w:rPr>
          <w:b/>
          <w:bCs/>
          <w:u w:val="single"/>
        </w:rPr>
        <w:t>For det ville ikke være rettferdig å avkreve oppgjør to ganger for samme skyld</w:t>
      </w:r>
      <w:r>
        <w:rPr>
          <w:b/>
          <w:bCs/>
        </w:rPr>
        <w:t xml:space="preserve"> -! Er det sonet for våre synder med Jesu blod, så skal ikke soning kreves av oss - så lenge Gud er rettferdig, og ikke forkaster den løsepengen han selv har forordnet for våre synder (</w:t>
      </w:r>
      <w:proofErr w:type="spellStart"/>
      <w:r>
        <w:rPr>
          <w:b/>
          <w:bCs/>
        </w:rPr>
        <w:t>konf</w:t>
      </w:r>
      <w:proofErr w:type="spellEnd"/>
      <w:r>
        <w:rPr>
          <w:b/>
          <w:bCs/>
        </w:rPr>
        <w:t xml:space="preserve"> 1Joh 1: 9).</w:t>
      </w:r>
    </w:p>
    <w:p w:rsidR="00826F09" w:rsidRDefault="00826F09" w:rsidP="00826F09">
      <w:pPr>
        <w:jc w:val="both"/>
        <w:rPr>
          <w:b/>
          <w:bCs/>
        </w:rPr>
      </w:pPr>
    </w:p>
    <w:p w:rsidR="00826F09" w:rsidRDefault="00826F09" w:rsidP="00826F09">
      <w:pPr>
        <w:jc w:val="both"/>
      </w:pPr>
      <w:proofErr w:type="gramStart"/>
      <w:r>
        <w:rPr>
          <w:b/>
          <w:bCs/>
        </w:rPr>
        <w:t>......</w:t>
      </w:r>
      <w:proofErr w:type="gramEnd"/>
      <w:r>
        <w:rPr>
          <w:b/>
          <w:bCs/>
        </w:rPr>
        <w:t xml:space="preserve"> Nå skal vi få se at Gud ikke bare er så nådig, men også så "trofast og rettferdig, så han </w:t>
      </w:r>
      <w:proofErr w:type="gramStart"/>
      <w:r>
        <w:rPr>
          <w:b/>
          <w:bCs/>
        </w:rPr>
        <w:t>forlater  syndene</w:t>
      </w:r>
      <w:proofErr w:type="gramEnd"/>
      <w:r>
        <w:rPr>
          <w:b/>
          <w:bCs/>
        </w:rPr>
        <w:t xml:space="preserve">». </w:t>
      </w:r>
      <w:r>
        <w:t>I stedet for å nøye seg med et delvis oppgjør etter lovens krav, fordi det ikke var mer å hente hos den fortapte synder, har han nå vendt seg til den rike garantisten og fått fullt oppgjør. Og hvis vi kunne fatte den personens betydning, som har fremskaffet dette oppgjøret, så ville vi erkjenne at i hans død er den guddommelige rettferdigheten blitt fullkomment forherliget.</w:t>
      </w:r>
    </w:p>
    <w:p w:rsidR="00826F09" w:rsidRDefault="00826F09" w:rsidP="00826F09">
      <w:pPr>
        <w:jc w:val="both"/>
      </w:pPr>
    </w:p>
    <w:p w:rsidR="00826F09" w:rsidRDefault="00826F09" w:rsidP="00826F09">
      <w:pPr>
        <w:jc w:val="both"/>
      </w:pPr>
      <w:r>
        <w:t>Og vi vil føye til dette:</w:t>
      </w:r>
    </w:p>
    <w:p w:rsidR="00826F09" w:rsidRDefault="00826F09" w:rsidP="00826F09">
      <w:pPr>
        <w:pStyle w:val="NormalWeb"/>
        <w:rPr>
          <w:sz w:val="27"/>
          <w:szCs w:val="27"/>
        </w:rPr>
      </w:pPr>
      <w:r>
        <w:rPr>
          <w:sz w:val="27"/>
          <w:szCs w:val="27"/>
        </w:rPr>
        <w:t xml:space="preserve">Læren om rettferdiggjørelsen og helliggjørelsen har i </w:t>
      </w:r>
      <w:proofErr w:type="spellStart"/>
      <w:r>
        <w:rPr>
          <w:sz w:val="27"/>
          <w:szCs w:val="27"/>
        </w:rPr>
        <w:t>Rosenius</w:t>
      </w:r>
      <w:proofErr w:type="spellEnd"/>
      <w:r>
        <w:rPr>
          <w:sz w:val="27"/>
          <w:szCs w:val="27"/>
        </w:rPr>
        <w:t>’ forkynnelse som blikkfang alltid: </w:t>
      </w:r>
      <w:r>
        <w:rPr>
          <w:b/>
          <w:bCs/>
          <w:sz w:val="27"/>
          <w:szCs w:val="27"/>
        </w:rPr>
        <w:t>Guds Lam</w:t>
      </w:r>
      <w:r>
        <w:rPr>
          <w:sz w:val="27"/>
          <w:szCs w:val="27"/>
        </w:rPr>
        <w:t>!</w:t>
      </w:r>
    </w:p>
    <w:p w:rsidR="00826F09" w:rsidRDefault="00826F09" w:rsidP="00826F09">
      <w:pPr>
        <w:pStyle w:val="NormalWeb"/>
        <w:rPr>
          <w:b/>
          <w:bCs/>
          <w:sz w:val="27"/>
          <w:szCs w:val="27"/>
        </w:rPr>
      </w:pPr>
      <w:r>
        <w:rPr>
          <w:sz w:val="27"/>
          <w:szCs w:val="27"/>
        </w:rPr>
        <w:t>                                                                                        </w:t>
      </w:r>
      <w:r>
        <w:rPr>
          <w:b/>
          <w:bCs/>
          <w:sz w:val="27"/>
          <w:szCs w:val="27"/>
        </w:rPr>
        <w:t xml:space="preserve">Alfr. </w:t>
      </w:r>
      <w:proofErr w:type="spellStart"/>
      <w:r>
        <w:rPr>
          <w:b/>
          <w:bCs/>
          <w:sz w:val="27"/>
          <w:szCs w:val="27"/>
        </w:rPr>
        <w:t>Furberg</w:t>
      </w:r>
      <w:proofErr w:type="spellEnd"/>
    </w:p>
    <w:p w:rsidR="00826F09" w:rsidRDefault="00826F09" w:rsidP="00826F09">
      <w:pPr>
        <w:pStyle w:val="NormalWeb"/>
        <w:rPr>
          <w:sz w:val="27"/>
          <w:szCs w:val="27"/>
        </w:rPr>
      </w:pPr>
      <w:r>
        <w:rPr>
          <w:sz w:val="22"/>
          <w:szCs w:val="22"/>
        </w:rPr>
        <w:t xml:space="preserve">Predikant og </w:t>
      </w:r>
      <w:proofErr w:type="spellStart"/>
      <w:r>
        <w:rPr>
          <w:sz w:val="22"/>
          <w:szCs w:val="22"/>
        </w:rPr>
        <w:t>distriktsombud</w:t>
      </w:r>
      <w:proofErr w:type="spellEnd"/>
      <w:r>
        <w:rPr>
          <w:sz w:val="22"/>
          <w:szCs w:val="22"/>
        </w:rPr>
        <w:t xml:space="preserve"> i </w:t>
      </w:r>
      <w:proofErr w:type="spellStart"/>
      <w:r>
        <w:rPr>
          <w:sz w:val="22"/>
          <w:szCs w:val="22"/>
        </w:rPr>
        <w:t>Evangeliska</w:t>
      </w:r>
      <w:proofErr w:type="spellEnd"/>
      <w:r>
        <w:rPr>
          <w:sz w:val="22"/>
          <w:szCs w:val="22"/>
        </w:rPr>
        <w:t> Fosterlandsstiftelsen på 1930-tall, i en tale på en større predikantsamling. Talen ble senere trykket og utgitt.</w:t>
      </w:r>
    </w:p>
    <w:p w:rsidR="00826F09" w:rsidRDefault="00826F09" w:rsidP="00826F09">
      <w:pPr>
        <w:jc w:val="both"/>
      </w:pPr>
      <w:r>
        <w:rPr>
          <w:b/>
          <w:bCs/>
        </w:rPr>
        <w:t>Hele denne talen kan du lese på vår webside</w:t>
      </w:r>
      <w:r>
        <w:t xml:space="preserve">: </w:t>
      </w:r>
      <w:hyperlink r:id="rId5" w:history="1">
        <w:r>
          <w:rPr>
            <w:rStyle w:val="Hyperkobling"/>
          </w:rPr>
          <w:t>www.arven.net</w:t>
        </w:r>
      </w:hyperlink>
      <w:r>
        <w:t xml:space="preserve">, underside: </w:t>
      </w:r>
      <w:r>
        <w:rPr>
          <w:b/>
          <w:bCs/>
        </w:rPr>
        <w:t>Bladet. O</w:t>
      </w:r>
      <w:r>
        <w:t xml:space="preserve">g der finner du det </w:t>
      </w:r>
      <w:proofErr w:type="gramStart"/>
      <w:r>
        <w:t xml:space="preserve">i  </w:t>
      </w:r>
      <w:r>
        <w:fldChar w:fldCharType="begin"/>
      </w:r>
      <w:proofErr w:type="gramEnd"/>
      <w:r>
        <w:instrText xml:space="preserve"> HYPERLINK "http://www.arven.net/2012-01-12-17-33-47/2-sider/42-06-01" </w:instrText>
      </w:r>
      <w:r>
        <w:fldChar w:fldCharType="separate"/>
      </w:r>
      <w:r>
        <w:rPr>
          <w:rStyle w:val="Hyperkobling"/>
        </w:rPr>
        <w:t xml:space="preserve">6/01 Et virkelig julebudskap – </w:t>
      </w:r>
      <w:proofErr w:type="spellStart"/>
      <w:r>
        <w:rPr>
          <w:rStyle w:val="Hyperkobling"/>
        </w:rPr>
        <w:t>Rettferdiggj</w:t>
      </w:r>
      <w:proofErr w:type="spellEnd"/>
      <w:r>
        <w:rPr>
          <w:rStyle w:val="Hyperkobling"/>
        </w:rPr>
        <w:t xml:space="preserve">. </w:t>
      </w:r>
      <w:proofErr w:type="gramStart"/>
      <w:r>
        <w:rPr>
          <w:rStyle w:val="Hyperkobling"/>
        </w:rPr>
        <w:t xml:space="preserve">og </w:t>
      </w:r>
      <w:proofErr w:type="spellStart"/>
      <w:r>
        <w:rPr>
          <w:rStyle w:val="Hyperkobling"/>
        </w:rPr>
        <w:t>helliggj</w:t>
      </w:r>
      <w:proofErr w:type="spellEnd"/>
      <w:r>
        <w:rPr>
          <w:rStyle w:val="Hyperkobling"/>
        </w:rPr>
        <w:t>.</w:t>
      </w:r>
      <w:proofErr w:type="gramEnd"/>
      <w:r>
        <w:rPr>
          <w:rStyle w:val="Hyperkobling"/>
        </w:rPr>
        <w:t xml:space="preserve"> i </w:t>
      </w:r>
      <w:proofErr w:type="spellStart"/>
      <w:r>
        <w:rPr>
          <w:rStyle w:val="Hyperkobling"/>
        </w:rPr>
        <w:t>C.O</w:t>
      </w:r>
      <w:proofErr w:type="gramStart"/>
      <w:r>
        <w:rPr>
          <w:rStyle w:val="Hyperkobling"/>
        </w:rPr>
        <w:t>.Rosensius</w:t>
      </w:r>
      <w:proofErr w:type="spellEnd"/>
      <w:proofErr w:type="gramEnd"/>
      <w:r>
        <w:rPr>
          <w:rStyle w:val="Hyperkobling"/>
        </w:rPr>
        <w:t>’ forkynnelse</w:t>
      </w:r>
      <w:r>
        <w:fldChar w:fldCharType="end"/>
      </w:r>
    </w:p>
    <w:p w:rsidR="00826F09" w:rsidRDefault="00826F09" w:rsidP="00826F09">
      <w:pPr>
        <w:jc w:val="both"/>
      </w:pPr>
    </w:p>
    <w:p w:rsidR="00826F09" w:rsidRDefault="00826F09" w:rsidP="00826F09">
      <w:pPr>
        <w:jc w:val="both"/>
      </w:pPr>
      <w:r>
        <w:t>Et ungt menneske sa etter å ha lest det nummeret av bladet: «Jeg har aldri fått se meg frelst og fri som da jeg leste dette!»</w:t>
      </w:r>
    </w:p>
    <w:p w:rsidR="00826F09" w:rsidRDefault="00826F09" w:rsidP="00826F09">
      <w:pPr>
        <w:jc w:val="center"/>
      </w:pPr>
      <w:r>
        <w:t xml:space="preserve">--------------------------------- </w:t>
      </w:r>
    </w:p>
    <w:p w:rsidR="00826F09" w:rsidRDefault="00826F09" w:rsidP="00826F09">
      <w:r>
        <w:t>                                                                                                                                                 </w:t>
      </w:r>
    </w:p>
    <w:p w:rsidR="00826F09" w:rsidRDefault="00826F09" w:rsidP="00826F09">
      <w:r>
        <w:rPr>
          <w:b/>
          <w:bCs/>
        </w:rPr>
        <w:t>Hjertelig hilsen</w:t>
      </w:r>
    </w:p>
    <w:p w:rsidR="00826F09" w:rsidRDefault="00826F09" w:rsidP="00826F09">
      <w:pPr>
        <w:jc w:val="both"/>
        <w:rPr>
          <w:b/>
          <w:bCs/>
        </w:rPr>
      </w:pPr>
    </w:p>
    <w:p w:rsidR="00826F09" w:rsidRDefault="00826F09" w:rsidP="00826F09">
      <w:pPr>
        <w:jc w:val="both"/>
        <w:rPr>
          <w:b/>
          <w:bCs/>
        </w:rPr>
      </w:pPr>
      <w:r>
        <w:rPr>
          <w:b/>
          <w:bCs/>
        </w:rPr>
        <w:t>Karin og Hermod</w:t>
      </w:r>
    </w:p>
    <w:p w:rsidR="00826F09" w:rsidRDefault="00826F09" w:rsidP="00826F09"/>
    <w:p w:rsidR="00826F09" w:rsidRDefault="00826F09" w:rsidP="00826F09">
      <w:pPr>
        <w:rPr>
          <w:rFonts w:ascii="Times New Roman" w:hAnsi="Times New Roman"/>
          <w:i/>
          <w:iCs/>
          <w:sz w:val="24"/>
          <w:szCs w:val="24"/>
          <w:lang w:eastAsia="nb-NO"/>
        </w:rPr>
      </w:pPr>
      <w:r>
        <w:rPr>
          <w:rFonts w:ascii="Times New Roman" w:hAnsi="Times New Roman"/>
          <w:i/>
          <w:iCs/>
          <w:sz w:val="24"/>
          <w:szCs w:val="24"/>
          <w:lang w:eastAsia="nb-NO"/>
        </w:rPr>
        <w:t xml:space="preserve">Hermod </w:t>
      </w:r>
      <w:proofErr w:type="spellStart"/>
      <w:r>
        <w:rPr>
          <w:rFonts w:ascii="Times New Roman" w:hAnsi="Times New Roman"/>
          <w:i/>
          <w:iCs/>
          <w:sz w:val="24"/>
          <w:szCs w:val="24"/>
          <w:lang w:eastAsia="nb-NO"/>
        </w:rPr>
        <w:t>Hogganvik</w:t>
      </w:r>
      <w:proofErr w:type="spellEnd"/>
    </w:p>
    <w:p w:rsidR="00826F09" w:rsidRDefault="00826F09" w:rsidP="00826F09">
      <w:pPr>
        <w:rPr>
          <w:lang w:eastAsia="nb-NO"/>
        </w:rPr>
      </w:pPr>
      <w:r>
        <w:rPr>
          <w:lang w:eastAsia="nb-NO"/>
        </w:rPr>
        <w:t>Arven Forlag</w:t>
      </w:r>
    </w:p>
    <w:p w:rsidR="00826F09" w:rsidRDefault="00826F09" w:rsidP="00826F09">
      <w:pPr>
        <w:rPr>
          <w:lang w:eastAsia="nb-NO"/>
        </w:rPr>
      </w:pPr>
      <w:hyperlink r:id="rId6" w:history="1">
        <w:r>
          <w:rPr>
            <w:rStyle w:val="Hyperkobling"/>
            <w:lang w:eastAsia="nb-NO"/>
          </w:rPr>
          <w:t>www.arven.net</w:t>
        </w:r>
      </w:hyperlink>
    </w:p>
    <w:p w:rsidR="009652BD" w:rsidRDefault="009652BD">
      <w:bookmarkStart w:id="0" w:name="_GoBack"/>
      <w:bookmarkEnd w:id="0"/>
    </w:p>
    <w:sectPr w:rsidR="0096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09"/>
    <w:rsid w:val="00643546"/>
    <w:rsid w:val="00826F09"/>
    <w:rsid w:val="0096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09"/>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26F09"/>
    <w:rPr>
      <w:color w:val="0563C1"/>
      <w:u w:val="single"/>
    </w:rPr>
  </w:style>
  <w:style w:type="paragraph" w:styleId="NormalWeb">
    <w:name w:val="Normal (Web)"/>
    <w:basedOn w:val="Normal"/>
    <w:uiPriority w:val="99"/>
    <w:semiHidden/>
    <w:unhideWhenUsed/>
    <w:rsid w:val="00826F09"/>
    <w:pPr>
      <w:spacing w:before="100" w:beforeAutospacing="1" w:after="100" w:afterAutospacing="1"/>
    </w:pPr>
    <w:rPr>
      <w:rFonts w:ascii="Times New Roman" w:hAnsi="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09"/>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26F09"/>
    <w:rPr>
      <w:color w:val="0563C1"/>
      <w:u w:val="single"/>
    </w:rPr>
  </w:style>
  <w:style w:type="paragraph" w:styleId="NormalWeb">
    <w:name w:val="Normal (Web)"/>
    <w:basedOn w:val="Normal"/>
    <w:uiPriority w:val="99"/>
    <w:semiHidden/>
    <w:unhideWhenUsed/>
    <w:rsid w:val="00826F09"/>
    <w:pPr>
      <w:spacing w:before="100" w:beforeAutospacing="1" w:after="100" w:afterAutospacing="1"/>
    </w:pPr>
    <w:rPr>
      <w:rFonts w:ascii="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ven.net" TargetMode="External"/><Relationship Id="rId5" Type="http://schemas.openxmlformats.org/officeDocument/2006/relationships/hyperlink" Target="http://www.arv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4596</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2015-06-09T09:28:00Z</dcterms:created>
  <dcterms:modified xsi:type="dcterms:W3CDTF">2015-06-09T09:29:00Z</dcterms:modified>
</cp:coreProperties>
</file>